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Toc3749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免除知情同意</w:t>
      </w:r>
      <w:bookmarkStart w:id="1" w:name="_GoBack"/>
      <w:bookmarkEnd w:id="1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申请</w:t>
      </w:r>
      <w:bookmarkEnd w:id="0"/>
    </w:p>
    <w:tbl>
      <w:tblPr>
        <w:tblStyle w:val="7"/>
        <w:tblpPr w:leftFromText="1077" w:rightFromText="22896" w:topFromText="403" w:vertAnchor="text" w:horzAnchor="page" w:tblpX="1475" w:tblpY="404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78"/>
        <w:gridCol w:w="2252"/>
        <w:gridCol w:w="806"/>
        <w:gridCol w:w="1337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9" w:line="206" w:lineRule="exact"/>
              <w:ind w:firstLine="764"/>
              <w:jc w:val="center"/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</w:pPr>
          </w:p>
          <w:p>
            <w:pPr>
              <w:spacing w:before="59" w:line="206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项目名称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171717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7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主要研究者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7" w:line="202" w:lineRule="exact"/>
              <w:jc w:val="center"/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承担科室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1" w:line="20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方案版本号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7" w:line="202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方案版本日期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楷体_GB2312" w:eastAsia="楷体_GB2312"/>
                <w:bCs/>
                <w:lang w:eastAsia="zh-CN"/>
              </w:rPr>
              <w:t>鉴于</w:t>
            </w:r>
            <w:r>
              <w:rPr>
                <w:rFonts w:hint="eastAsia" w:ascii="楷体_GB2312" w:eastAsia="楷体_GB2312"/>
                <w:bCs/>
              </w:rPr>
              <w:t>以下两种情况之一，伦理专委会可以批准免除知情同意。但是，请注意：免除知情同意，伦理委专委会也可以要求研究者向受试者提供研究告知信息。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9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bCs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利用以往临床诊疗中获得的病历/生物标本的研究，申请免除知情同意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本研究使用的病历或生物标本是以往临床诊疗中获取的。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55"/>
              </w:tabs>
              <w:spacing w:line="360" w:lineRule="exact"/>
            </w:pPr>
            <w:r>
              <w:rPr>
                <w:rFonts w:hint="eastAsia" w:hAnsi="TimesNewRoman"/>
              </w:rPr>
              <w:t>本研</w:t>
            </w:r>
            <w:r>
              <w:rPr>
                <w:rFonts w:hint="eastAsia"/>
              </w:rPr>
              <w:t>究对受试者的风险不大于最小风险</w:t>
            </w:r>
            <w:r>
              <w:rPr>
                <w:rStyle w:val="6"/>
              </w:rPr>
              <w:footnoteReference w:id="0"/>
            </w:r>
            <w:r>
              <w:rPr>
                <w:rFonts w:hint="eastAsia"/>
              </w:rPr>
              <w:t>。</w:t>
            </w:r>
          </w:p>
          <w:p>
            <w:pPr>
              <w:tabs>
                <w:tab w:val="left" w:pos="1455"/>
              </w:tabs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免除知情同意不会对受试者的权利和健康产生不利的影响。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受试者的隐私和个人身份信息得到保护。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若规定需获取知情同意，研究将无法进行（病人有权知道其病历</w:t>
            </w:r>
            <w:r>
              <w:t>/</w:t>
            </w:r>
            <w:r>
              <w:rPr>
                <w:rFonts w:hint="eastAsia"/>
              </w:rPr>
              <w:t>标本可能用于研究，其拒绝或不同意参加研究，不是研究无法实施、免除知情同意的证据）。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本研究不利用</w:t>
            </w:r>
            <w:r>
              <w:rPr>
                <w:rFonts w:hint="eastAsia" w:hAnsi="宋体"/>
                <w:szCs w:val="21"/>
              </w:rPr>
              <w:t>病人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受试者以前已明确地拒绝利用的医疗记录和标本</w:t>
            </w:r>
            <w:r>
              <w:rPr>
                <w:rFonts w:hint="eastAsia" w:hAnsi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利用可识别身份信息的人体材料或者数据进行研究，已无法找到该受试者，且研究项目不涉及个人隐私和商业利益的。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ED3A3" w:themeFill="background1" w:themeFillShade="D8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 研究病历/生物标本的二次利用，申请免除知情同意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70"/>
                <w:tab w:val="right" w:pos="8787"/>
              </w:tabs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生物样本捐献者已经签署了知情同意书，同意所捐献样本及相关信息可用于所有医学研究的。</w:t>
            </w:r>
          </w:p>
          <w:p>
            <w:pPr>
              <w:tabs>
                <w:tab w:val="left" w:pos="2970"/>
                <w:tab w:val="right" w:pos="8787"/>
              </w:tabs>
              <w:spacing w:line="36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70"/>
                <w:tab w:val="right" w:pos="8787"/>
              </w:tabs>
              <w:spacing w:line="360" w:lineRule="exact"/>
            </w:pPr>
            <w:r>
              <w:rPr>
                <w:rFonts w:hint="eastAsia"/>
              </w:rPr>
              <w:t>本次研究符合原知情同意的许可条件。</w:t>
            </w:r>
          </w:p>
          <w:p>
            <w:pPr>
              <w:tabs>
                <w:tab w:val="left" w:pos="2970"/>
                <w:tab w:val="right" w:pos="8787"/>
              </w:tabs>
              <w:spacing w:line="36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</w:pPr>
            <w:r>
              <w:rPr>
                <w:rFonts w:hint="eastAsia"/>
              </w:rPr>
              <w:t>受试者的隐私和身份信息的保密得到保证。</w:t>
            </w:r>
          </w:p>
          <w:p>
            <w:pPr>
              <w:spacing w:line="36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/>
                <w:i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ind w:firstLine="346" w:firstLineChars="164"/>
              <w:jc w:val="both"/>
              <w:rPr>
                <w:rFonts w:hint="eastAsia" w:ascii="Times New Roman" w:hAnsi="Times New Roman"/>
                <w:b/>
                <w:bCs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2D2D2D"/>
                <w:sz w:val="21"/>
                <w:szCs w:val="21"/>
              </w:rPr>
              <w:t>主要研究者签名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196" w:lineRule="exact"/>
              <w:jc w:val="both"/>
              <w:rPr>
                <w:rFonts w:hint="eastAsia" w:ascii="Times New Roman" w:hAnsi="Times New Roman"/>
                <w:b/>
                <w:bCs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282828"/>
                <w:sz w:val="21"/>
                <w:szCs w:val="21"/>
              </w:rPr>
              <w:t xml:space="preserve">    日  期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60606"/>
                <w:sz w:val="21"/>
                <w:szCs w:val="21"/>
              </w:rPr>
            </w:pPr>
          </w:p>
        </w:tc>
      </w:tr>
    </w:tbl>
    <w:p>
      <w:pPr>
        <w:spacing w:before="38"/>
        <w:ind w:right="-147"/>
        <w:jc w:val="both"/>
        <w:rPr>
          <w:rFonts w:hint="eastAsia" w:ascii="Times New Roman" w:hAnsi="Times New Roman" w:eastAsia="黑体" w:cs="黑体"/>
          <w:b/>
          <w:color w:val="151515"/>
          <w:sz w:val="21"/>
          <w:szCs w:val="21"/>
          <w:lang w:val="en-US" w:eastAsia="zh-CN"/>
        </w:rPr>
      </w:pP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szCs w:val="21"/>
        </w:rPr>
      </w:pPr>
      <w:r>
        <w:rPr>
          <w:rStyle w:val="6"/>
        </w:rPr>
        <w:footnoteRef/>
      </w:r>
      <w:r>
        <w:rPr>
          <w:szCs w:val="21"/>
        </w:rPr>
        <w:t xml:space="preserve"> </w:t>
      </w:r>
      <w:r>
        <w:rPr>
          <w:rFonts w:hint="eastAsia"/>
          <w:szCs w:val="21"/>
        </w:rPr>
        <w:t>最小风险（</w:t>
      </w:r>
      <w:r>
        <w:rPr>
          <w:szCs w:val="21"/>
        </w:rPr>
        <w:t>Minimal Risk</w:t>
      </w:r>
      <w:r>
        <w:rPr>
          <w:rFonts w:hint="eastAsia"/>
          <w:szCs w:val="21"/>
        </w:rPr>
        <w:t>）：指试验中预期风险的可能性和程度不大于日常生活、或进行常规体格检查或心理测试的风险。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0213"/>
    <w:rsid w:val="33E50213"/>
    <w:rsid w:val="56AE291B"/>
    <w:rsid w:val="65424F1B"/>
    <w:rsid w:val="7DA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qFormat/>
    <w:uiPriority w:val="99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2018-12-17T08:39:00Z</dcterms:created>
  <dc:creator>优哉游哉</dc:creator>
  <cp:lastModifiedBy>优哉游哉</cp:lastModifiedBy>
  <dcterms:modified xsi:type="dcterms:W3CDTF">2019-01-14T07:18:50Z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